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Style w:val="9"/>
          <w:rFonts w:cs="宋体"/>
        </w:rPr>
      </w:pPr>
      <w:bookmarkStart w:id="2" w:name="_GoBack"/>
      <w:bookmarkEnd w:id="2"/>
      <w:r>
        <w:rPr>
          <w:rStyle w:val="9"/>
          <w:rFonts w:hint="eastAsia" w:cs="宋体"/>
        </w:rPr>
        <w:t>采购需求</w:t>
      </w:r>
    </w:p>
    <w:p>
      <w:pPr>
        <w:pStyle w:val="3"/>
        <w:jc w:val="left"/>
        <w:rPr>
          <w:rFonts w:hint="eastAsia" w:ascii="宋体" w:hAnsi="宋体" w:eastAsia="宋体" w:cs="宋体"/>
          <w:bCs w:val="0"/>
          <w:szCs w:val="21"/>
        </w:rPr>
      </w:pPr>
      <w:bookmarkStart w:id="0" w:name="_Toc21587"/>
      <w:r>
        <w:rPr>
          <w:rFonts w:hint="eastAsia" w:ascii="宋体" w:hAnsi="宋体" w:eastAsia="宋体" w:cs="宋体"/>
          <w:bCs w:val="0"/>
          <w:szCs w:val="21"/>
        </w:rPr>
        <w:t>一、技术参数配置要求</w:t>
      </w:r>
      <w:bookmarkEnd w:id="0"/>
    </w:p>
    <w:tbl>
      <w:tblPr>
        <w:tblStyle w:val="5"/>
        <w:tblW w:w="7920" w:type="dxa"/>
        <w:jc w:val="center"/>
        <w:tblLayout w:type="autofit"/>
        <w:tblCellMar>
          <w:top w:w="0" w:type="dxa"/>
          <w:left w:w="0" w:type="dxa"/>
          <w:bottom w:w="0" w:type="dxa"/>
          <w:right w:w="0" w:type="dxa"/>
        </w:tblCellMar>
      </w:tblPr>
      <w:tblGrid>
        <w:gridCol w:w="1526"/>
        <w:gridCol w:w="4372"/>
        <w:gridCol w:w="1220"/>
        <w:gridCol w:w="802"/>
      </w:tblGrid>
      <w:tr>
        <w:tblPrEx>
          <w:tblCellMar>
            <w:top w:w="0" w:type="dxa"/>
            <w:left w:w="0" w:type="dxa"/>
            <w:bottom w:w="0" w:type="dxa"/>
            <w:right w:w="0" w:type="dxa"/>
          </w:tblCellMar>
        </w:tblPrEx>
        <w:trPr>
          <w:trHeight w:val="600"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 称</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  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参考品牌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2700"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二级显示小屏（andriod系统）</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24寸</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A40/四核/1.5GHZ</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外壳尺寸：556*332.3*30</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内屏：524.3*293.3</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分辨率：1920*1080</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运存：2GB及以上</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存储：32GB及以上</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端口：HDMI、USB*2、音频输出、TF卡插槽</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喜仕达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1620"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一级屏Android终端盒子</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支持：无线投屏、手机遥控、蓝牙传输、自建热点等</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接口：HDMI、AV、USB、网口/无线</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中间件：基于XML、Lua、JavaScript等语言运行，支持多种前端展示，可解析csp</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喜仕达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720"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自助报道机</w:t>
            </w:r>
          </w:p>
        </w:tc>
        <w:tc>
          <w:tcPr>
            <w:tcW w:w="4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外形尺寸：1480*530*386</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CPU:1900/四核/2.0GHZ</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内存:4G</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硬盘:64GB</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19寸液晶显示屏</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红外触摸，10点触控</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打印方式：热敏</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打印寿命：100KM、150万次</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接口：USB*2、RJ-45*1</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支持磁条卡、医保卡、医保电子凭证、电子健康卡读卡、一维码、二维码</w:t>
            </w:r>
            <w:r>
              <w:rPr>
                <w:rFonts w:hint="default" w:ascii="等线" w:hAnsi="等线" w:eastAsia="等线" w:cs="等线"/>
                <w:i w:val="0"/>
                <w:color w:val="000000"/>
                <w:kern w:val="0"/>
                <w:sz w:val="24"/>
                <w:szCs w:val="24"/>
                <w:u w:val="none"/>
                <w:lang w:val="en-US" w:eastAsia="zh-CN" w:bidi="ar"/>
              </w:rPr>
              <w:br w:type="textWrapping"/>
            </w:r>
            <w:r>
              <w:rPr>
                <w:rFonts w:hint="default" w:ascii="等线" w:hAnsi="等线" w:eastAsia="等线" w:cs="等线"/>
                <w:i w:val="0"/>
                <w:color w:val="000000"/>
                <w:kern w:val="0"/>
                <w:sz w:val="24"/>
                <w:szCs w:val="24"/>
                <w:u w:val="none"/>
                <w:lang w:val="en-US" w:eastAsia="zh-CN" w:bidi="ar"/>
              </w:rPr>
              <w:t>支持读取纸质、LCD、手机屏幕上的条码信息</w:t>
            </w:r>
          </w:p>
        </w:tc>
        <w:tc>
          <w:tcPr>
            <w:tcW w:w="1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喜仕达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4"/>
                <w:szCs w:val="24"/>
                <w:u w:val="none"/>
              </w:rPr>
            </w:pPr>
            <w:r>
              <w:rPr>
                <w:rFonts w:hint="default" w:ascii="等线" w:hAnsi="等线" w:eastAsia="等线" w:cs="等线"/>
                <w:i w:val="0"/>
                <w:color w:val="000000"/>
                <w:kern w:val="0"/>
                <w:sz w:val="24"/>
                <w:szCs w:val="24"/>
                <w:u w:val="none"/>
                <w:lang w:val="en-US" w:eastAsia="zh-CN" w:bidi="ar"/>
              </w:rPr>
              <w:t>2</w:t>
            </w:r>
          </w:p>
        </w:tc>
      </w:tr>
    </w:tbl>
    <w:p>
      <w:pPr>
        <w:pStyle w:val="10"/>
        <w:numPr>
          <w:ilvl w:val="0"/>
          <w:numId w:val="0"/>
        </w:numPr>
        <w:spacing w:line="500" w:lineRule="exact"/>
        <w:ind w:firstLine="480" w:firstLineChars="200"/>
        <w:rPr>
          <w:rFonts w:hint="eastAsia" w:hAnsi="宋体" w:eastAsia="宋体"/>
          <w:sz w:val="24"/>
          <w:szCs w:val="22"/>
          <w:lang w:val="en-US" w:eastAsia="zh-CN"/>
        </w:rPr>
      </w:pPr>
      <w:r>
        <w:rPr>
          <w:rFonts w:hint="eastAsia" w:hAnsi="宋体"/>
          <w:sz w:val="24"/>
          <w:szCs w:val="22"/>
          <w:lang w:eastAsia="zh-CN"/>
        </w:rPr>
        <w:t>备注：</w:t>
      </w:r>
      <w:r>
        <w:rPr>
          <w:rFonts w:hint="eastAsia" w:hAnsi="宋体"/>
          <w:sz w:val="24"/>
          <w:szCs w:val="22"/>
        </w:rPr>
        <w:t>以上清单中所列品牌为参考品牌，不作为指定品牌，投标人可以自行选择其它品牌报价，但各投标单位必须在投标文件中提供相关证明材料证明所报产品品质、档次、性能、技术参数不低于或相当于参考品牌</w:t>
      </w:r>
      <w:r>
        <w:rPr>
          <w:rFonts w:hint="eastAsia" w:hAnsi="宋体"/>
          <w:sz w:val="24"/>
          <w:szCs w:val="22"/>
          <w:lang w:eastAsia="zh-CN"/>
        </w:rPr>
        <w:t>且须满足采购人技术参数配置要求，否则作无效标处理。</w:t>
      </w:r>
    </w:p>
    <w:p>
      <w:pPr>
        <w:pStyle w:val="10"/>
        <w:numPr>
          <w:ilvl w:val="0"/>
          <w:numId w:val="0"/>
        </w:numPr>
        <w:spacing w:line="500" w:lineRule="exact"/>
        <w:ind w:firstLine="480" w:firstLineChars="200"/>
        <w:rPr>
          <w:rFonts w:hint="default" w:hAnsi="宋体"/>
          <w:sz w:val="24"/>
          <w:szCs w:val="22"/>
          <w:lang w:val="en-US"/>
        </w:rPr>
      </w:pPr>
    </w:p>
    <w:p>
      <w:pPr>
        <w:pStyle w:val="3"/>
        <w:jc w:val="left"/>
        <w:rPr>
          <w:rFonts w:hint="eastAsia" w:ascii="宋体" w:hAnsi="宋体" w:cs="宋体"/>
          <w:bCs w:val="0"/>
          <w:szCs w:val="21"/>
        </w:rPr>
      </w:pPr>
      <w:bookmarkStart w:id="1" w:name="_Toc13090"/>
    </w:p>
    <w:p>
      <w:pPr>
        <w:pStyle w:val="3"/>
        <w:jc w:val="left"/>
        <w:rPr>
          <w:rFonts w:ascii="宋体" w:hAnsi="宋体" w:cs="宋体"/>
          <w:b/>
          <w:bCs/>
          <w:szCs w:val="21"/>
        </w:rPr>
      </w:pPr>
      <w:r>
        <w:rPr>
          <w:rFonts w:hint="eastAsia" w:ascii="宋体" w:hAnsi="宋体" w:cs="宋体"/>
          <w:bCs w:val="0"/>
          <w:szCs w:val="21"/>
        </w:rPr>
        <w:t>二、商务</w:t>
      </w:r>
      <w:r>
        <w:rPr>
          <w:rFonts w:hint="eastAsia"/>
        </w:rPr>
        <w:t>要求</w:t>
      </w:r>
      <w:bookmarkEnd w:id="1"/>
      <w:r>
        <w:rPr>
          <w:rFonts w:hint="eastAsia" w:ascii="宋体" w:hAnsi="宋体" w:cs="宋体"/>
          <w:b/>
          <w:bCs/>
          <w:szCs w:val="21"/>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701"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294"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294" w:type="dxa"/>
            <w:noWrap w:val="0"/>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 </w:t>
            </w:r>
            <w:r>
              <w:rPr>
                <w:rFonts w:hint="eastAsia" w:ascii="宋体" w:hAnsi="宋体" w:cs="宋体"/>
                <w:b w:val="0"/>
                <w:bCs w:val="0"/>
                <w:szCs w:val="21"/>
                <w:lang w:eastAsia="zh-CN"/>
              </w:rPr>
              <w:t>歙县人民医院</w:t>
            </w:r>
            <w:r>
              <w:rPr>
                <w:rFonts w:hint="eastAsia" w:ascii="宋体" w:hAnsi="宋体" w:cs="宋体"/>
                <w:b w:val="0"/>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w:t>
            </w:r>
          </w:p>
        </w:tc>
        <w:tc>
          <w:tcPr>
            <w:tcW w:w="6294" w:type="dxa"/>
            <w:noWrap w:val="0"/>
            <w:vAlign w:val="center"/>
          </w:tcPr>
          <w:p>
            <w:pPr>
              <w:spacing w:line="500" w:lineRule="exact"/>
              <w:rPr>
                <w:rFonts w:hint="default" w:ascii="宋体" w:hAnsi="宋体" w:eastAsia="宋体" w:cs="宋体"/>
                <w:b w:val="0"/>
                <w:bCs w:val="0"/>
                <w:szCs w:val="21"/>
                <w:lang w:val="en-US" w:eastAsia="zh-CN"/>
              </w:rPr>
            </w:pPr>
            <w:r>
              <w:rPr>
                <w:rFonts w:hint="eastAsia" w:ascii="宋体" w:hAnsi="宋体" w:cs="宋体"/>
                <w:b w:val="0"/>
                <w:bCs w:val="0"/>
                <w:szCs w:val="21"/>
                <w:lang w:eastAsia="zh-CN"/>
              </w:rPr>
              <w:t>签订合同</w:t>
            </w:r>
            <w:r>
              <w:rPr>
                <w:rFonts w:hint="eastAsia" w:ascii="宋体" w:hAnsi="宋体" w:cs="宋体"/>
                <w:b w:val="0"/>
                <w:bCs w:val="0"/>
                <w:szCs w:val="21"/>
                <w:lang w:val="en-US" w:eastAsia="zh-CN"/>
              </w:rPr>
              <w:t>15天内完成，根据采购人需求分两次供货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6294" w:type="dxa"/>
            <w:noWrap w:val="0"/>
            <w:vAlign w:val="center"/>
          </w:tcPr>
          <w:p>
            <w:pPr>
              <w:spacing w:line="500" w:lineRule="exact"/>
              <w:rPr>
                <w:rFonts w:hint="eastAsia" w:ascii="宋体" w:hAnsi="宋体" w:cs="宋体"/>
                <w:b w:val="0"/>
                <w:bCs w:val="0"/>
                <w:szCs w:val="21"/>
              </w:rPr>
            </w:pPr>
            <w:r>
              <w:rPr>
                <w:rFonts w:hint="eastAsia" w:ascii="宋体" w:hAnsi="宋体"/>
                <w:b w:val="0"/>
                <w:bCs w:val="0"/>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noWrap w:val="0"/>
            <w:vAlign w:val="center"/>
          </w:tcPr>
          <w:p>
            <w:pPr>
              <w:spacing w:line="500" w:lineRule="exact"/>
              <w:rPr>
                <w:rFonts w:hint="eastAsia" w:ascii="宋体" w:hAnsi="宋体" w:eastAsia="宋体" w:cs="宋体"/>
                <w:b w:val="0"/>
                <w:bCs w:val="0"/>
                <w:szCs w:val="21"/>
                <w:lang w:eastAsia="zh-CN"/>
              </w:rPr>
            </w:pPr>
            <w:r>
              <w:rPr>
                <w:rFonts w:hint="eastAsia" w:ascii="宋体" w:hAnsi="宋体" w:cs="宋体"/>
                <w:b w:val="0"/>
                <w:bCs w:val="0"/>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7</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294" w:type="dxa"/>
            <w:noWrap w:val="0"/>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付款人： </w:t>
            </w:r>
            <w:r>
              <w:rPr>
                <w:rFonts w:hint="eastAsia" w:ascii="宋体" w:hAnsi="宋体" w:cs="宋体"/>
                <w:b w:val="0"/>
                <w:bCs w:val="0"/>
                <w:szCs w:val="21"/>
                <w:lang w:eastAsia="zh-CN"/>
              </w:rPr>
              <w:t>歙县人民医院</w:t>
            </w:r>
            <w:r>
              <w:rPr>
                <w:rFonts w:hint="eastAsia" w:ascii="宋体" w:hAnsi="宋体" w:cs="宋体"/>
                <w:b w:val="0"/>
                <w:bCs w:val="0"/>
                <w:szCs w:val="21"/>
              </w:rPr>
              <w:t xml:space="preserve">            </w:t>
            </w:r>
          </w:p>
          <w:p>
            <w:pPr>
              <w:spacing w:line="500" w:lineRule="exact"/>
              <w:rPr>
                <w:rFonts w:ascii="宋体" w:hAnsi="宋体" w:cs="宋体"/>
                <w:b w:val="0"/>
                <w:bCs w:val="0"/>
                <w:szCs w:val="21"/>
              </w:rPr>
            </w:pPr>
            <w:r>
              <w:rPr>
                <w:rFonts w:hint="eastAsia" w:ascii="宋体" w:hAnsi="宋体" w:cs="宋体"/>
                <w:b w:val="0"/>
                <w:bCs w:val="0"/>
                <w:szCs w:val="21"/>
              </w:rPr>
              <w:t>付款方式：</w:t>
            </w:r>
            <w:r>
              <w:rPr>
                <w:rFonts w:hint="eastAsia" w:ascii="宋体" w:hAnsi="宋体" w:cs="宋体"/>
                <w:b w:val="0"/>
                <w:bCs w:val="0"/>
                <w:szCs w:val="21"/>
                <w:lang w:eastAsia="zh-CN"/>
              </w:rPr>
              <w:t>验收合格满三个月一次性付款。</w:t>
            </w:r>
            <w:r>
              <w:rPr>
                <w:rFonts w:hint="eastAsia" w:ascii="宋体" w:hAnsi="宋体" w:cs="宋体"/>
                <w:b w:val="0"/>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8</w:t>
            </w:r>
          </w:p>
        </w:tc>
        <w:tc>
          <w:tcPr>
            <w:tcW w:w="1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294" w:type="dxa"/>
            <w:noWrap w:val="0"/>
            <w:vAlign w:val="center"/>
          </w:tcPr>
          <w:p>
            <w:pPr>
              <w:spacing w:line="500" w:lineRule="exact"/>
              <w:rPr>
                <w:rFonts w:hint="default" w:ascii="宋体" w:hAnsi="宋体" w:cs="宋体"/>
                <w:b w:val="0"/>
                <w:bCs w:val="0"/>
                <w:szCs w:val="21"/>
                <w:lang w:val="en-US"/>
              </w:rPr>
            </w:pPr>
            <w:r>
              <w:rPr>
                <w:rFonts w:hint="default" w:ascii="宋体" w:hAnsi="宋体" w:cs="宋体"/>
                <w:b w:val="0"/>
                <w:bCs w:val="0"/>
                <w:szCs w:val="21"/>
                <w:lang w:val="en-US"/>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D738F"/>
    <w:rsid w:val="676D738F"/>
    <w:rsid w:val="72C1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3">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customStyle="1" w:styleId="7">
    <w:name w:val="H1"/>
    <w:basedOn w:val="4"/>
    <w:next w:val="8"/>
    <w:qFormat/>
    <w:uiPriority w:val="0"/>
    <w:pPr>
      <w:spacing w:line="560" w:lineRule="exact"/>
      <w:jc w:val="left"/>
    </w:pPr>
    <w:rPr>
      <w:rFonts w:ascii="宋体" w:hAnsi="宋体" w:cs="宋体"/>
      <w:bCs w:val="0"/>
      <w:color w:val="000000"/>
    </w:rPr>
  </w:style>
  <w:style w:type="paragraph" w:customStyle="1" w:styleId="8">
    <w:name w:val="GW-正文"/>
    <w:basedOn w:val="1"/>
    <w:qFormat/>
    <w:uiPriority w:val="0"/>
    <w:pPr>
      <w:spacing w:line="360" w:lineRule="auto"/>
      <w:ind w:firstLine="200" w:firstLineChars="200"/>
      <w:contextualSpacing/>
    </w:pPr>
    <w:rPr>
      <w:szCs w:val="24"/>
    </w:rPr>
  </w:style>
  <w:style w:type="character" w:customStyle="1" w:styleId="9">
    <w:name w:val="apple-converted-space"/>
    <w:qFormat/>
    <w:uiPriority w:val="99"/>
    <w:rPr>
      <w:rFonts w:cs="Times New Roman"/>
    </w:rPr>
  </w:style>
  <w:style w:type="paragraph" w:customStyle="1" w:styleId="10">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2021-03-25T07:41:00Z</dcterms:created>
  <dc:creator>未定义</dc:creator>
  <cp:lastModifiedBy>gyb1</cp:lastModifiedBy>
  <dcterms:modified xsi:type="dcterms:W3CDTF">2021-03-25T09:03:06Z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