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jc w:val="center"/>
        <w:rPr>
          <w:rStyle w:val="11"/>
          <w:rFonts w:hint="eastAsia" w:cs="宋体" w:asciiTheme="minorHAnsi" w:hAnsiTheme="minorHAnsi" w:eastAsiaTheme="minorEastAsia"/>
        </w:rPr>
      </w:pPr>
      <w:r>
        <w:rPr>
          <w:rStyle w:val="11"/>
          <w:rFonts w:hint="eastAsia" w:cs="宋体" w:asciiTheme="minorHAnsi" w:hAnsiTheme="minorHAnsi" w:eastAsiaTheme="minorEastAsia"/>
        </w:rPr>
        <w:t>歙县人民医院防火墙、服务器采购项目采购需求</w:t>
      </w:r>
    </w:p>
    <w:p>
      <w:pPr>
        <w:pStyle w:val="10"/>
        <w:rPr>
          <w:rFonts w:hint="eastAsia"/>
        </w:rPr>
      </w:pPr>
    </w:p>
    <w:p>
      <w:pPr>
        <w:keepNext w:val="0"/>
        <w:keepLines w:val="0"/>
        <w:pageBreakBefore w:val="0"/>
        <w:kinsoku/>
        <w:wordWrap/>
        <w:overflowPunct/>
        <w:topLinePunct w:val="0"/>
        <w:autoSpaceDE/>
        <w:autoSpaceDN/>
        <w:bidi w:val="0"/>
        <w:adjustRightInd/>
        <w:snapToGrid/>
        <w:spacing w:line="384" w:lineRule="auto"/>
        <w:ind w:firstLine="422" w:firstLineChars="200"/>
        <w:textAlignment w:val="auto"/>
        <w:rPr>
          <w:rFonts w:hint="eastAsia" w:asciiTheme="minorEastAsia" w:hAnsiTheme="minorEastAsia" w:eastAsiaTheme="minorEastAsia" w:cstheme="minorEastAsia"/>
        </w:rPr>
      </w:pPr>
      <w:r>
        <w:rPr>
          <w:rFonts w:hint="eastAsia"/>
          <w:b/>
          <w:bCs/>
          <w:lang w:val="en-US" w:eastAsia="zh-CN"/>
        </w:rPr>
        <w:t>第一包：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名称</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rPr>
            </w:pPr>
            <w:r>
              <w:rPr>
                <w:rFonts w:hint="eastAsia" w:ascii="宋体" w:hAnsi="宋体"/>
                <w:szCs w:val="21"/>
              </w:rPr>
              <w:t>防火墙（详见</w:t>
            </w:r>
            <w:r>
              <w:rPr>
                <w:rFonts w:hint="eastAsia" w:ascii="宋体" w:hAnsi="宋体"/>
                <w:szCs w:val="21"/>
                <w:lang w:eastAsia="zh-CN"/>
              </w:rPr>
              <w:t>参数</w:t>
            </w:r>
            <w:r>
              <w:rPr>
                <w:rFonts w:hint="eastAsia" w:ascii="宋体" w:hAnsi="宋体"/>
                <w:szCs w:val="21"/>
              </w:rPr>
              <w:t>及服务要求）</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1台</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防火墙参数及服务要求：</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1. </w:t>
      </w:r>
      <w:r>
        <w:rPr>
          <w:rFonts w:hint="eastAsia" w:asciiTheme="minorEastAsia" w:hAnsiTheme="minorEastAsia" w:eastAsiaTheme="minorEastAsia" w:cstheme="minorEastAsia"/>
          <w:sz w:val="21"/>
          <w:szCs w:val="21"/>
        </w:rPr>
        <w:t>标准机架设备；双电源；标准配置10个10/100M/1000M自适应千兆电接口、4个千兆SFP接口及1个接口扩展槽，默认支持下一代防火墙访问控制、入侵防御、网络防病毒、上网行为及URL分类管理、流控和IPSec VPN模块；防火墙吞吐≥20Gbps，并发连接数≥400万，包含三年入侵防御、防病毒、URL和应用识别特征库升级。</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sz w:val="21"/>
          <w:szCs w:val="21"/>
        </w:rPr>
        <w:t xml:space="preserve">支持手动和LACP链路聚合，可根据源/目的mac、源/目的IP、五元组、端口轮询等条件提供不少于4种链路负载算法；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w:t>
      </w:r>
      <w:r>
        <w:rPr>
          <w:rFonts w:hint="eastAsia" w:asciiTheme="minorEastAsia" w:hAnsiTheme="minorEastAsia" w:eastAsiaTheme="minorEastAsia" w:cstheme="minorEastAsia"/>
          <w:sz w:val="21"/>
          <w:szCs w:val="21"/>
        </w:rPr>
        <w:t>SDWAN：支持双边链路质量优化，支持对称模式部署，在链路存在丢包、延迟、抖动等因素时，通过专有的协议隧道模式，封装用户应用，并改善网络环境中的应用性能解决数据丢包、延迟等问题；（提供截图证明）。对SD-WAN隧道的时延、抖动、带宽占用率、丢包率等提供可视化展示；（提供截图证明）;</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w:t>
      </w:r>
      <w:r>
        <w:rPr>
          <w:rFonts w:hint="eastAsia" w:asciiTheme="minorEastAsia" w:hAnsiTheme="minorEastAsia" w:eastAsiaTheme="minorEastAsia" w:cstheme="minorEastAsia"/>
          <w:sz w:val="21"/>
          <w:szCs w:val="21"/>
        </w:rPr>
        <w:t>支持基于硬件Hypervisor技术的底层虚拟化，各个虚拟防火墙之间完全隔离，可运行不同的防火墙版本，拥有完全独立的CPU、内存、接口等资源；（提供截图证明）。</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w:t>
      </w:r>
      <w:r>
        <w:rPr>
          <w:rFonts w:hint="eastAsia" w:asciiTheme="minorEastAsia" w:hAnsiTheme="minorEastAsia" w:eastAsiaTheme="minorEastAsia" w:cstheme="minorEastAsia"/>
          <w:sz w:val="21"/>
          <w:szCs w:val="21"/>
        </w:rPr>
        <w:t>支持自动创建和手动创建两种方式创建快照，数量不少于16个；自动创建可根据客户的预设置时间，每周或每月自动创建系统快照；（提供截图证明）;</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6.</w:t>
      </w:r>
      <w:r>
        <w:rPr>
          <w:rFonts w:hint="eastAsia" w:asciiTheme="minorEastAsia" w:hAnsiTheme="minorEastAsia" w:eastAsiaTheme="minorEastAsia" w:cstheme="minorEastAsia"/>
          <w:sz w:val="21"/>
          <w:szCs w:val="21"/>
        </w:rPr>
        <w:t>支持主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7.</w:t>
      </w:r>
      <w:r>
        <w:rPr>
          <w:rFonts w:hint="eastAsia" w:asciiTheme="minorEastAsia" w:hAnsiTheme="minorEastAsia" w:eastAsiaTheme="minorEastAsia" w:cstheme="minorEastAsia"/>
          <w:sz w:val="21"/>
          <w:szCs w:val="21"/>
        </w:rPr>
        <w:t>风险主机:根据攻击事件，进行风险等级评估，智能判定内网的失陷主机和风险主机，并展示在威胁展示页面中；</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8.</w:t>
      </w:r>
      <w:r>
        <w:rPr>
          <w:rFonts w:hint="eastAsia" w:asciiTheme="minorEastAsia" w:hAnsiTheme="minorEastAsia" w:eastAsiaTheme="minorEastAsia" w:cstheme="minorEastAsia"/>
          <w:sz w:val="21"/>
          <w:szCs w:val="21"/>
        </w:rPr>
        <w:t>威胁情报防护：支持基于威胁情报云的动态防护功能，防火墙支持将用户对互联网的访问信息发送至威胁情报云进行实时情报查询及防护。提供防火墙配置界面及威胁情报云端界面截图；</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9.</w:t>
      </w:r>
      <w:r>
        <w:rPr>
          <w:rFonts w:hint="eastAsia" w:asciiTheme="minorEastAsia" w:hAnsiTheme="minorEastAsia" w:eastAsiaTheme="minorEastAsia" w:cstheme="minorEastAsia"/>
          <w:sz w:val="21"/>
          <w:szCs w:val="21"/>
        </w:rPr>
        <w:t>云日志：提供主机被攻击的频次进行统计分析，生产报表；（提供截图证明）</w:t>
      </w:r>
      <w:bookmarkStart w:id="1" w:name="_GoBack"/>
      <w:bookmarkEnd w:id="1"/>
      <w:r>
        <w:rPr>
          <w:rFonts w:hint="eastAsia" w:asciiTheme="minorEastAsia" w:hAnsiTheme="minorEastAsia" w:eastAsiaTheme="minorEastAsia" w:cstheme="minorEastAsia"/>
          <w:sz w:val="21"/>
          <w:szCs w:val="21"/>
        </w:rPr>
        <w:t>；可将防火墙、NAT、系统和安全等日志一键上报至云端存储；（提供截图证明）；</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10.</w:t>
      </w:r>
      <w:r>
        <w:rPr>
          <w:rFonts w:hint="eastAsia" w:asciiTheme="minorEastAsia" w:hAnsiTheme="minorEastAsia" w:eastAsiaTheme="minorEastAsia" w:cstheme="minorEastAsia"/>
          <w:sz w:val="21"/>
          <w:szCs w:val="21"/>
        </w:rPr>
        <w:t>策略梳理：支持扩展集中策略分析模块；（提供截图证明）；支持集中对所有防火墙安全策略进行冗余分析，可分析出安全策略是否为不必要的冗余配置；（提供截图证明）；支持集中对所有防火墙安全策略进行命中频率分析，辅助用户快速完成策略次序的调整，从而达到优化防火墙处理性能的目的；（提供截图证明）。</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11．</w:t>
      </w:r>
      <w:r>
        <w:rPr>
          <w:rFonts w:hint="eastAsia" w:asciiTheme="minorEastAsia" w:hAnsiTheme="minorEastAsia" w:eastAsiaTheme="minorEastAsia" w:cstheme="minorEastAsia"/>
          <w:sz w:val="21"/>
          <w:szCs w:val="21"/>
        </w:rPr>
        <w:t>IPv6安全防护：支持基于IPv6的入侵防御、病毒防御、DDOS、WEB防护、防御等一系列安全防护功能；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12.</w:t>
      </w:r>
      <w:r>
        <w:rPr>
          <w:rFonts w:hint="eastAsia" w:asciiTheme="minorEastAsia" w:hAnsiTheme="minorEastAsia" w:eastAsiaTheme="minorEastAsia" w:cstheme="minorEastAsia"/>
          <w:sz w:val="21"/>
          <w:szCs w:val="21"/>
        </w:rPr>
        <w:t>入侵防御：规则库支持根据攻击类型、风险等级、流行程度等进行分类，防护动作包括告警、阻断；支持针对地址设置入侵防御白名单，支持攻击规则搜索以及自定义；</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13．</w:t>
      </w:r>
      <w:r>
        <w:rPr>
          <w:rFonts w:hint="eastAsia" w:asciiTheme="minorEastAsia" w:hAnsiTheme="minorEastAsia" w:eastAsiaTheme="minorEastAsia" w:cstheme="minorEastAsia"/>
          <w:sz w:val="21"/>
          <w:szCs w:val="21"/>
        </w:rPr>
        <w:t xml:space="preserve">带宽管理：支持链路和四层通道嵌套的流量控制功能，可基于上下行区域、地址、地理对象、用户/用户组、服务/服务组、应用/应用组和时间等配置带宽策略，支持带宽策略优先级；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14.</w:t>
      </w:r>
      <w:r>
        <w:rPr>
          <w:rFonts w:hint="eastAsia" w:asciiTheme="minorEastAsia" w:hAnsiTheme="minorEastAsia" w:eastAsiaTheme="minorEastAsia" w:cstheme="minorEastAsia"/>
          <w:sz w:val="21"/>
          <w:szCs w:val="21"/>
        </w:rPr>
        <w:t>IPSEC VPN无需额外授权，IPSec VPN用户数无限制；SSL VPN无需额外授权，SSL VPN用户数无限制；</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15.</w:t>
      </w:r>
      <w:r>
        <w:rPr>
          <w:rFonts w:hint="eastAsia" w:asciiTheme="minorEastAsia" w:hAnsiTheme="minorEastAsia" w:eastAsiaTheme="minorEastAsia" w:cstheme="minorEastAsia"/>
          <w:sz w:val="21"/>
          <w:szCs w:val="21"/>
        </w:rPr>
        <w:t>产品通过国家无线电监测中心检测中心/国家无线电产品质量监督检验中心的电磁兼容性、浪涌（冲击）抗扰度、雷击型式测试，提供报告；</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16.</w:t>
      </w:r>
      <w:r>
        <w:rPr>
          <w:rFonts w:hint="eastAsia" w:asciiTheme="minorEastAsia" w:hAnsiTheme="minorEastAsia" w:eastAsiaTheme="minorEastAsia" w:cstheme="minorEastAsia"/>
          <w:sz w:val="21"/>
          <w:szCs w:val="21"/>
        </w:rPr>
        <w:t>防火墙产品需入围Gartner2019年、2020年网络防火墙魔力象限；提供证明材料；</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17.</w:t>
      </w:r>
      <w:r>
        <w:rPr>
          <w:rFonts w:hint="eastAsia" w:asciiTheme="minorEastAsia" w:hAnsiTheme="minorEastAsia" w:eastAsiaTheme="minorEastAsia" w:cstheme="minorEastAsia"/>
          <w:sz w:val="21"/>
          <w:szCs w:val="21"/>
        </w:rPr>
        <w:t>产品生产厂商全部参与等保2.0（基本要求、测评要求、安全设计技术要求）标准起草且具备《信息安全服务资质证书（安全工程类三级）》；提供以上证明超材料；</w:t>
      </w:r>
    </w:p>
    <w:p>
      <w:pPr>
        <w:pStyle w:val="12"/>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18.</w:t>
      </w:r>
      <w:r>
        <w:rPr>
          <w:rFonts w:hint="eastAsia" w:asciiTheme="minorEastAsia" w:hAnsiTheme="minorEastAsia" w:eastAsiaTheme="minorEastAsia" w:cstheme="minorEastAsia"/>
          <w:sz w:val="21"/>
          <w:szCs w:val="21"/>
        </w:rPr>
        <w:t>与现网防火墙USG-FW-4000-T防火墙形成双机主备部署；</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19</w:t>
      </w:r>
      <w:r>
        <w:rPr>
          <w:rFonts w:hint="eastAsia" w:asciiTheme="minorEastAsia" w:hAnsiTheme="minorEastAsia" w:eastAsiaTheme="minorEastAsia" w:cstheme="minorEastAsia"/>
          <w:sz w:val="21"/>
          <w:szCs w:val="21"/>
        </w:rPr>
        <w:t>．质保服务：提供原厂授权和三年售后服务承诺函；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20.</w:t>
      </w:r>
      <w:r>
        <w:rPr>
          <w:rFonts w:hint="eastAsia" w:asciiTheme="minorEastAsia" w:hAnsiTheme="minorEastAsia" w:eastAsiaTheme="minorEastAsia" w:cstheme="minorEastAsia"/>
          <w:sz w:val="21"/>
          <w:szCs w:val="21"/>
        </w:rPr>
        <w:t>原有</w:t>
      </w:r>
      <w:r>
        <w:rPr>
          <w:rFonts w:hint="eastAsia" w:asciiTheme="minorEastAsia" w:hAnsiTheme="minorEastAsia" w:eastAsiaTheme="minorEastAsia" w:cstheme="minorEastAsia"/>
          <w:sz w:val="21"/>
          <w:szCs w:val="21"/>
          <w:lang w:eastAsia="zh-CN"/>
        </w:rPr>
        <w:t>启明星辰</w:t>
      </w:r>
      <w:r>
        <w:rPr>
          <w:rFonts w:hint="eastAsia" w:asciiTheme="minorEastAsia" w:hAnsiTheme="minorEastAsia" w:eastAsiaTheme="minorEastAsia" w:cstheme="minorEastAsia"/>
          <w:sz w:val="21"/>
          <w:szCs w:val="21"/>
          <w:lang w:val="en-US" w:eastAsia="zh-CN"/>
        </w:rPr>
        <w:t>USG-FW-4000-T-NF3120</w:t>
      </w:r>
      <w:r>
        <w:rPr>
          <w:rFonts w:hint="eastAsia" w:asciiTheme="minorEastAsia" w:hAnsiTheme="minorEastAsia" w:eastAsiaTheme="minorEastAsia" w:cstheme="minorEastAsia"/>
          <w:sz w:val="21"/>
          <w:szCs w:val="21"/>
        </w:rPr>
        <w:t>防火墙新增一块USG-FW-4000-T系列4GE扩展板卡</w:t>
      </w:r>
      <w:r>
        <w:rPr>
          <w:rFonts w:hint="eastAsia" w:asciiTheme="minorEastAsia" w:hAnsiTheme="minorEastAsia" w:eastAsiaTheme="minorEastAsia" w:cstheme="minorEastAsia"/>
          <w:sz w:val="21"/>
          <w:szCs w:val="21"/>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2" w:firstLineChars="200"/>
        <w:textAlignment w:val="auto"/>
        <w:rPr>
          <w:rFonts w:hint="eastAsia"/>
          <w:b/>
          <w:bCs/>
          <w:lang w:val="en-US" w:eastAsia="zh-CN"/>
        </w:rPr>
      </w:pPr>
      <w:r>
        <w:rPr>
          <w:rFonts w:hint="eastAsia"/>
          <w:b/>
          <w:bCs/>
          <w:lang w:val="en-US" w:eastAsia="zh-CN"/>
        </w:rPr>
        <w:t>第二包：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名称</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rPr>
            </w:pPr>
            <w:r>
              <w:rPr>
                <w:rFonts w:hint="eastAsia" w:ascii="宋体" w:hAnsi="宋体"/>
                <w:szCs w:val="21"/>
                <w:lang w:eastAsia="zh-CN"/>
              </w:rPr>
              <w:t>服务器</w:t>
            </w:r>
            <w:r>
              <w:rPr>
                <w:rFonts w:hint="eastAsia" w:ascii="宋体" w:hAnsi="宋体"/>
                <w:szCs w:val="21"/>
              </w:rPr>
              <w:t>（详见</w:t>
            </w:r>
            <w:r>
              <w:rPr>
                <w:rFonts w:hint="eastAsia" w:ascii="宋体" w:hAnsi="宋体"/>
                <w:szCs w:val="21"/>
                <w:lang w:eastAsia="zh-CN"/>
              </w:rPr>
              <w:t>参数</w:t>
            </w:r>
            <w:r>
              <w:rPr>
                <w:rFonts w:hint="eastAsia" w:ascii="宋体" w:hAnsi="宋体"/>
                <w:szCs w:val="21"/>
              </w:rPr>
              <w:t>及服务要求）</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2台</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服务器参数及服务要求：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1.产品形态：2U标准机架式服务器；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2.处理器：配置2颗Intel Xeon 3206R，支持Intel VT，单颗处理器核数≥8核、单颗主频≥1.9GHz；线程数量≥16</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3.内存：要本次配置 2*16GB DDR4（2933MHz）内存；要求支持RDIMM、LRDIMM类型的内存，≥24个DIMM内存插槽，最大可扩展内存≥1.5TB</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4. 存储：配置2块4T</w:t>
      </w:r>
      <w:r>
        <w:rPr>
          <w:rFonts w:hint="eastAsia" w:asciiTheme="minorEastAsia" w:hAnsiTheme="minorEastAsia" w:eastAsiaTheme="minorEastAsia" w:cstheme="minorEastAsia"/>
          <w:b w:val="0"/>
          <w:bCs w:val="0"/>
          <w:sz w:val="21"/>
          <w:szCs w:val="21"/>
          <w:lang w:val="en-US" w:eastAsia="zh-CN"/>
        </w:rPr>
        <w:t xml:space="preserve"> 7200</w:t>
      </w:r>
      <w:r>
        <w:rPr>
          <w:rFonts w:hint="eastAsia" w:asciiTheme="minorEastAsia" w:hAnsiTheme="minorEastAsia" w:eastAsiaTheme="minorEastAsia" w:cstheme="minorEastAsia"/>
          <w:i w:val="0"/>
          <w:iCs w:val="0"/>
          <w:caps w:val="0"/>
          <w:color w:val="auto"/>
          <w:spacing w:val="0"/>
          <w:sz w:val="21"/>
          <w:szCs w:val="21"/>
          <w:u w:val="none"/>
          <w:shd w:val="clear" w:fill="FFFFFF"/>
        </w:rPr>
        <w:fldChar w:fldCharType="begin"/>
      </w:r>
      <w:r>
        <w:rPr>
          <w:rFonts w:hint="eastAsia" w:asciiTheme="minorEastAsia" w:hAnsiTheme="minorEastAsia" w:eastAsiaTheme="minorEastAsia" w:cstheme="minorEastAsia"/>
          <w:i w:val="0"/>
          <w:iCs w:val="0"/>
          <w:caps w:val="0"/>
          <w:color w:val="auto"/>
          <w:spacing w:val="0"/>
          <w:sz w:val="21"/>
          <w:szCs w:val="21"/>
          <w:u w:val="none"/>
          <w:shd w:val="clear" w:fill="FFFFFF"/>
        </w:rPr>
        <w:instrText xml:space="preserve"> HYPERLINK "https://detail.zol.com.cn/serverhd/s2208/" </w:instrText>
      </w:r>
      <w:r>
        <w:rPr>
          <w:rFonts w:hint="eastAsia" w:asciiTheme="minorEastAsia" w:hAnsiTheme="minorEastAsia" w:eastAsiaTheme="minorEastAsia" w:cstheme="minorEastAsia"/>
          <w:i w:val="0"/>
          <w:iCs w:val="0"/>
          <w:caps w:val="0"/>
          <w:color w:val="auto"/>
          <w:spacing w:val="0"/>
          <w:sz w:val="21"/>
          <w:szCs w:val="21"/>
          <w:u w:val="none"/>
          <w:shd w:val="clear" w:fill="FFFFFF"/>
        </w:rPr>
        <w:fldChar w:fldCharType="separate"/>
      </w:r>
      <w:r>
        <w:rPr>
          <w:rStyle w:val="8"/>
          <w:rFonts w:hint="eastAsia" w:asciiTheme="minorEastAsia" w:hAnsiTheme="minorEastAsia" w:eastAsiaTheme="minorEastAsia" w:cstheme="minorEastAsia"/>
          <w:i w:val="0"/>
          <w:iCs w:val="0"/>
          <w:caps w:val="0"/>
          <w:color w:val="auto"/>
          <w:spacing w:val="0"/>
          <w:sz w:val="21"/>
          <w:szCs w:val="21"/>
          <w:u w:val="none"/>
          <w:shd w:val="clear" w:fill="FFFFFF"/>
        </w:rPr>
        <w:t>转/分</w:t>
      </w:r>
      <w:r>
        <w:rPr>
          <w:rFonts w:hint="eastAsia" w:asciiTheme="minorEastAsia" w:hAnsiTheme="minorEastAsia" w:eastAsiaTheme="minorEastAsia" w:cstheme="minorEastAsia"/>
          <w:i w:val="0"/>
          <w:iCs w:val="0"/>
          <w:caps w:val="0"/>
          <w:color w:val="auto"/>
          <w:spacing w:val="0"/>
          <w:sz w:val="21"/>
          <w:szCs w:val="21"/>
          <w:u w:val="none"/>
          <w:shd w:val="clear" w:fill="FFFFFF"/>
        </w:rPr>
        <w:fldChar w:fldCharType="end"/>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sz w:val="21"/>
          <w:szCs w:val="21"/>
        </w:rPr>
        <w:t>热插拔存储硬盘</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RAID卡：支持RAID0/1/等；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6.网卡：4端口千兆电口；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7.I/O插槽：支持10个PCIe3.0插槽；最高≥3个双宽GPU提供官网截图证明；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8.电源：热插拔冗余电源；数量2个550W；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9.硬件集成管理：硬件集成1个独立管理GE端口，实现虚拟介质、远程控制台、虚拟KVM功能、支持集成系统软件及驱动在主板上；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10.配件：机架导轨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硬件免费原厂三年服务</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根据采购方需求安装部署操作系统、数据库等。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推荐品牌：华为、华三、浪潮</w:t>
      </w:r>
    </w:p>
    <w:p>
      <w:pPr>
        <w:pStyle w:val="3"/>
        <w:jc w:val="left"/>
        <w:rPr>
          <w:rFonts w:hint="eastAsia" w:ascii="宋体" w:hAnsi="宋体" w:cs="宋体"/>
          <w:b w:val="0"/>
          <w:bCs/>
          <w:szCs w:val="21"/>
          <w:lang w:val="en-US" w:eastAsia="zh-CN"/>
        </w:rPr>
      </w:pPr>
    </w:p>
    <w:p>
      <w:pPr>
        <w:pStyle w:val="3"/>
        <w:jc w:val="left"/>
        <w:rPr>
          <w:rFonts w:hint="eastAsia" w:ascii="宋体" w:hAnsi="宋体" w:cs="宋体"/>
          <w:b w:val="0"/>
          <w:bCs w:val="0"/>
          <w:szCs w:val="21"/>
        </w:rPr>
      </w:pPr>
      <w:r>
        <w:rPr>
          <w:rFonts w:ascii="宋体" w:hAnsi="宋体" w:cs="宋体"/>
          <w:bCs w:val="0"/>
          <w:szCs w:val="21"/>
        </w:rPr>
        <w:br w:type="page"/>
      </w:r>
      <w:bookmarkStart w:id="0" w:name="_Toc5551"/>
      <w:r>
        <w:rPr>
          <w:rFonts w:hint="eastAsia" w:ascii="宋体" w:hAnsi="宋体" w:cs="宋体"/>
          <w:bCs w:val="0"/>
          <w:szCs w:val="21"/>
        </w:rPr>
        <w:t>二、商务</w:t>
      </w:r>
      <w:r>
        <w:rPr>
          <w:rFonts w:hint="eastAsia"/>
        </w:rPr>
        <w:t>要求</w:t>
      </w:r>
      <w:bookmarkEnd w:id="0"/>
    </w:p>
    <w:p>
      <w:pPr>
        <w:rPr>
          <w:rFonts w:ascii="宋体" w:hAnsi="宋体" w:cs="宋体"/>
          <w:b/>
          <w:bCs/>
          <w:szCs w:val="21"/>
        </w:rPr>
      </w:pPr>
      <w:r>
        <w:rPr>
          <w:rFonts w:hint="eastAsia" w:ascii="宋体" w:hAnsi="宋体" w:cs="宋体"/>
          <w:b/>
          <w:bCs/>
          <w:szCs w:val="21"/>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658"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658" w:type="dxa"/>
            <w:noWrap w:val="0"/>
            <w:vAlign w:val="center"/>
          </w:tcPr>
          <w:p>
            <w:pPr>
              <w:spacing w:line="500" w:lineRule="exact"/>
              <w:jc w:val="both"/>
              <w:rPr>
                <w:rFonts w:hint="eastAsia" w:ascii="宋体" w:hAnsi="宋体" w:eastAsia="宋体" w:cs="宋体"/>
                <w:b/>
                <w:bCs/>
                <w:szCs w:val="21"/>
                <w:lang w:val="en-US" w:eastAsia="zh-CN"/>
              </w:rPr>
            </w:pPr>
            <w:r>
              <w:rPr>
                <w:rFonts w:hint="eastAsia" w:ascii="宋体" w:hAnsi="宋体" w:cs="宋体"/>
                <w:b w:val="0"/>
                <w:bCs w:val="0"/>
                <w:szCs w:val="21"/>
                <w:lang w:val="en-US" w:eastAsia="zh-CN"/>
              </w:rPr>
              <w:t>歙县人民医院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w:t>
            </w:r>
          </w:p>
        </w:tc>
        <w:tc>
          <w:tcPr>
            <w:tcW w:w="6658" w:type="dxa"/>
            <w:noWrap w:val="0"/>
            <w:vAlign w:val="center"/>
          </w:tcPr>
          <w:p>
            <w:pPr>
              <w:spacing w:line="500" w:lineRule="exact"/>
              <w:jc w:val="both"/>
              <w:rPr>
                <w:rFonts w:hint="eastAsia" w:ascii="宋体" w:hAnsi="宋体" w:cs="宋体"/>
                <w:b/>
                <w:bCs/>
                <w:szCs w:val="21"/>
              </w:rPr>
            </w:pPr>
            <w:r>
              <w:rPr>
                <w:rFonts w:hint="eastAsia" w:asciiTheme="minorEastAsia" w:hAnsiTheme="minorEastAsia" w:eastAsiaTheme="minorEastAsia" w:cstheme="minorEastAsia"/>
              </w:rPr>
              <w:t>自签订合同之日起，</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lang w:eastAsia="zh-CN"/>
              </w:rPr>
              <w:t>个日历天</w:t>
            </w:r>
            <w:r>
              <w:rPr>
                <w:rFonts w:hint="eastAsia" w:asciiTheme="minorEastAsia" w:hAnsiTheme="minorEastAsia" w:eastAsiaTheme="minorEastAsia" w:cstheme="minorEastAsia"/>
              </w:rPr>
              <w:t>内完成供货、安装、调试并验收。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658" w:type="dxa"/>
            <w:noWrap w:val="0"/>
            <w:vAlign w:val="center"/>
          </w:tcPr>
          <w:p>
            <w:pPr>
              <w:spacing w:line="500" w:lineRule="exact"/>
              <w:rPr>
                <w:rFonts w:hint="eastAsia"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658" w:type="dxa"/>
            <w:noWrap w:val="0"/>
            <w:vAlign w:val="center"/>
          </w:tcPr>
          <w:p>
            <w:pPr>
              <w:spacing w:line="500" w:lineRule="exact"/>
              <w:rPr>
                <w:rFonts w:hint="eastAsia" w:ascii="宋体" w:hAnsi="宋体" w:eastAsia="宋体" w:cs="宋体"/>
                <w:b/>
                <w:bCs/>
                <w:szCs w:val="21"/>
                <w:lang w:eastAsia="zh-CN"/>
              </w:rPr>
            </w:pPr>
            <w:r>
              <w:rPr>
                <w:rFonts w:hint="eastAsia"/>
                <w:lang w:eastAsia="zh-CN"/>
              </w:rPr>
              <w:t>提供原厂三年质保服务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5</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货物售后服务</w:t>
            </w:r>
          </w:p>
        </w:tc>
        <w:tc>
          <w:tcPr>
            <w:tcW w:w="6658" w:type="dxa"/>
            <w:noWrap w:val="0"/>
            <w:vAlign w:val="center"/>
          </w:tcPr>
          <w:p>
            <w:pPr>
              <w:spacing w:line="500" w:lineRule="exact"/>
              <w:rPr>
                <w:rFonts w:hint="eastAsia" w:ascii="宋体" w:hAnsi="宋体" w:cs="宋体"/>
                <w:b/>
                <w:bCs/>
                <w:szCs w:val="21"/>
              </w:rPr>
            </w:pPr>
            <w:r>
              <w:rPr>
                <w:rFonts w:hint="eastAsia" w:ascii="宋体" w:hAnsi="宋体" w:eastAsia="宋体" w:cs="宋体"/>
                <w:b w:val="0"/>
                <w:bCs w:val="0"/>
                <w:szCs w:val="21"/>
              </w:rPr>
              <w:t>符合服务要求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658" w:type="dxa"/>
            <w:noWrap w:val="0"/>
            <w:vAlign w:val="center"/>
          </w:tcPr>
          <w:p>
            <w:pPr>
              <w:spacing w:line="500" w:lineRule="exact"/>
              <w:jc w:val="both"/>
              <w:rPr>
                <w:rFonts w:hint="default" w:ascii="宋体" w:hAnsi="宋体" w:cs="宋体"/>
                <w:b/>
                <w:bCs/>
                <w:szCs w:val="21"/>
                <w:lang w:val="en-US"/>
              </w:rPr>
            </w:pPr>
            <w:r>
              <w:rPr>
                <w:rFonts w:hint="eastAsia" w:ascii="宋体" w:hAnsi="宋体" w:eastAsia="宋体" w:cs="宋体"/>
                <w:b w:val="0"/>
                <w:bCs w:val="0"/>
                <w:szCs w:val="21"/>
              </w:rPr>
              <w:t>按</w:t>
            </w:r>
            <w:r>
              <w:rPr>
                <w:rFonts w:hint="eastAsia" w:ascii="宋体" w:hAnsi="宋体" w:eastAsia="宋体" w:cs="宋体"/>
                <w:b w:val="0"/>
                <w:bCs w:val="0"/>
                <w:szCs w:val="21"/>
                <w:lang w:eastAsia="zh-CN"/>
              </w:rPr>
              <w:t>询价</w:t>
            </w:r>
            <w:r>
              <w:rPr>
                <w:rFonts w:hint="eastAsia" w:ascii="宋体" w:hAnsi="宋体" w:eastAsia="宋体" w:cs="宋体"/>
                <w:b w:val="0"/>
                <w:bCs w:val="0"/>
                <w:szCs w:val="21"/>
              </w:rPr>
              <w:t>文件及合同要求进行查验</w:t>
            </w:r>
            <w:r>
              <w:rPr>
                <w:rFonts w:hint="eastAsia" w:ascii="宋体" w:hAnsi="宋体" w:cs="宋体"/>
                <w:b w:val="0"/>
                <w:bCs w:val="0"/>
                <w:szCs w:val="21"/>
                <w:lang w:eastAsia="zh-CN"/>
              </w:rPr>
              <w:t>合格</w:t>
            </w:r>
            <w:r>
              <w:rPr>
                <w:rFonts w:hint="eastAsia" w:ascii="宋体" w:hAnsi="宋体" w:cs="宋体"/>
                <w:b w:val="0"/>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7</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658" w:type="dxa"/>
            <w:noWrap w:val="0"/>
            <w:vAlign w:val="center"/>
          </w:tcPr>
          <w:p>
            <w:pPr>
              <w:spacing w:line="500" w:lineRule="exact"/>
              <w:rPr>
                <w:rFonts w:ascii="宋体" w:hAnsi="宋体" w:cs="宋体"/>
                <w:b w:val="0"/>
                <w:bCs w:val="0"/>
                <w:szCs w:val="21"/>
              </w:rPr>
            </w:pPr>
            <w:r>
              <w:rPr>
                <w:rFonts w:hint="eastAsia" w:ascii="宋体" w:hAnsi="宋体" w:cs="宋体"/>
                <w:b w:val="0"/>
                <w:bCs w:val="0"/>
                <w:szCs w:val="21"/>
              </w:rPr>
              <w:t>付款人：</w:t>
            </w:r>
            <w:r>
              <w:rPr>
                <w:rFonts w:hint="eastAsia" w:ascii="宋体" w:hAnsi="宋体" w:cs="宋体"/>
                <w:b w:val="0"/>
                <w:bCs w:val="0"/>
                <w:szCs w:val="21"/>
                <w:lang w:val="en-US" w:eastAsia="zh-CN"/>
              </w:rPr>
              <w:t>歙县人民医院</w:t>
            </w:r>
            <w:r>
              <w:rPr>
                <w:rFonts w:hint="eastAsia" w:ascii="宋体" w:hAnsi="宋体" w:cs="宋体"/>
                <w:b w:val="0"/>
                <w:bCs w:val="0"/>
                <w:szCs w:val="21"/>
              </w:rPr>
              <w:t xml:space="preserve">           </w:t>
            </w:r>
          </w:p>
          <w:p>
            <w:pPr>
              <w:spacing w:line="500" w:lineRule="exact"/>
              <w:rPr>
                <w:rFonts w:ascii="宋体" w:hAnsi="宋体" w:cs="宋体"/>
                <w:b w:val="0"/>
                <w:bCs w:val="0"/>
                <w:szCs w:val="21"/>
              </w:rPr>
            </w:pPr>
            <w:r>
              <w:rPr>
                <w:rFonts w:hint="eastAsia" w:ascii="宋体" w:hAnsi="宋体" w:cs="宋体"/>
                <w:b w:val="0"/>
                <w:bCs w:val="0"/>
                <w:szCs w:val="21"/>
              </w:rPr>
              <w:t>付款方式：货到安装调试及验收合格后，支付90%合同款，余款质保期</w:t>
            </w:r>
            <w:r>
              <w:rPr>
                <w:rFonts w:hint="eastAsia" w:ascii="宋体" w:hAnsi="宋体" w:cs="宋体"/>
                <w:b w:val="0"/>
                <w:bCs w:val="0"/>
                <w:szCs w:val="21"/>
                <w:lang w:eastAsia="zh-CN"/>
              </w:rPr>
              <w:t>一年</w:t>
            </w:r>
            <w:r>
              <w:rPr>
                <w:rFonts w:hint="eastAsia" w:ascii="宋体" w:hAnsi="宋体" w:cs="宋体"/>
                <w:b w:val="0"/>
                <w:bCs w:val="0"/>
                <w:szCs w:val="21"/>
              </w:rPr>
              <w:t xml:space="preserve">后一次性付清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8</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658" w:type="dxa"/>
            <w:noWrap w:val="0"/>
            <w:vAlign w:val="center"/>
          </w:tcPr>
          <w:p>
            <w:pPr>
              <w:spacing w:line="500" w:lineRule="exact"/>
              <w:rPr>
                <w:rFonts w:hint="eastAsia" w:ascii="宋体" w:hAnsi="宋体" w:eastAsia="宋体" w:cs="宋体"/>
                <w:b w:val="0"/>
                <w:bCs w:val="0"/>
                <w:szCs w:val="21"/>
                <w:lang w:eastAsia="zh-CN"/>
              </w:rPr>
            </w:pPr>
            <w:r>
              <w:rPr>
                <w:rFonts w:hint="eastAsia" w:ascii="宋体" w:hAnsi="宋体" w:cs="宋体"/>
                <w:b w:val="0"/>
                <w:bCs w:val="0"/>
                <w:kern w:val="0"/>
                <w:szCs w:val="21"/>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1A951"/>
    <w:multiLevelType w:val="singleLevel"/>
    <w:tmpl w:val="F371A951"/>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B26B3"/>
    <w:rsid w:val="1FF7120E"/>
    <w:rsid w:val="4D1B26B3"/>
    <w:rsid w:val="7632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b/>
      <w:sz w:val="32"/>
    </w:rPr>
  </w:style>
  <w:style w:type="paragraph" w:styleId="3">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customStyle="1" w:styleId="9">
    <w:name w:val="H1"/>
    <w:basedOn w:val="4"/>
    <w:next w:val="10"/>
    <w:qFormat/>
    <w:uiPriority w:val="0"/>
    <w:pPr>
      <w:spacing w:line="560" w:lineRule="exact"/>
      <w:jc w:val="left"/>
    </w:pPr>
    <w:rPr>
      <w:rFonts w:ascii="宋体" w:hAnsi="宋体" w:cs="宋体"/>
      <w:bCs w:val="0"/>
      <w:color w:val="000000"/>
    </w:rPr>
  </w:style>
  <w:style w:type="paragraph" w:customStyle="1" w:styleId="10">
    <w:name w:val="GW-正文"/>
    <w:basedOn w:val="1"/>
    <w:qFormat/>
    <w:uiPriority w:val="0"/>
    <w:pPr>
      <w:spacing w:line="360" w:lineRule="auto"/>
      <w:ind w:firstLine="200" w:firstLineChars="200"/>
      <w:contextualSpacing/>
    </w:pPr>
    <w:rPr>
      <w:szCs w:val="24"/>
    </w:rPr>
  </w:style>
  <w:style w:type="character" w:customStyle="1" w:styleId="11">
    <w:name w:val="apple-converted-space"/>
    <w:qFormat/>
    <w:uiPriority w:val="99"/>
    <w:rPr>
      <w:rFonts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2021-12-20T01:03:00Z</dcterms:created>
  <dc:creator>Administrator</dc:creator>
  <cp:lastModifiedBy>Administrator</cp:lastModifiedBy>
  <dcterms:modified xsi:type="dcterms:W3CDTF">2021-12-20T01:05:55Z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325965E4C5EF433384A6504D4322A6FA</vt:lpwstr>
  </property>
</Properties>
</file>